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0" w:firstLineChars="0"/>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pPr>
        <w:spacing w:line="590" w:lineRule="exact"/>
        <w:ind w:firstLine="0" w:firstLineChars="0"/>
        <w:jc w:val="left"/>
        <w:rPr>
          <w:rFonts w:hint="default" w:ascii="Times New Roman" w:hAnsi="Times New Roman" w:eastAsia="仿宋_GB2312" w:cs="Times New Roman"/>
          <w:color w:val="auto"/>
          <w:sz w:val="32"/>
          <w:szCs w:val="32"/>
          <w:lang w:val="en-US" w:eastAsia="zh-CN"/>
        </w:rPr>
      </w:pPr>
    </w:p>
    <w:p>
      <w:pPr>
        <w:spacing w:line="590" w:lineRule="exact"/>
        <w:ind w:firstLine="0" w:firstLineChars="0"/>
        <w:jc w:val="center"/>
        <w:rPr>
          <w:rFonts w:hint="default" w:ascii="Times New Roman" w:hAnsi="Times New Roman" w:eastAsia="方正小标宋简体" w:cs="Times New Roman"/>
          <w:color w:val="auto"/>
          <w:sz w:val="44"/>
          <w:szCs w:val="44"/>
          <w:lang w:val="en-US" w:eastAsia="zh-CN"/>
        </w:rPr>
      </w:pPr>
      <w:bookmarkStart w:id="0" w:name="_GoBack"/>
      <w:r>
        <w:rPr>
          <w:rFonts w:hint="default" w:ascii="Times New Roman" w:hAnsi="Times New Roman" w:eastAsia="方正小标宋简体" w:cs="Times New Roman"/>
          <w:color w:val="auto"/>
          <w:sz w:val="44"/>
          <w:szCs w:val="44"/>
          <w:lang w:val="en-US" w:eastAsia="zh-CN"/>
        </w:rPr>
        <w:t>广州市一般工业固体废物环境管理要点</w:t>
      </w:r>
    </w:p>
    <w:bookmarkEnd w:id="0"/>
    <w:tbl>
      <w:tblPr>
        <w:tblStyle w:val="2"/>
        <w:tblW w:w="1024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61"/>
        <w:gridCol w:w="1563"/>
        <w:gridCol w:w="3183"/>
        <w:gridCol w:w="49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blHeader/>
          <w:jc w:val="center"/>
        </w:trPr>
        <w:tc>
          <w:tcPr>
            <w:tcW w:w="561" w:type="dxa"/>
            <w:noWrap w:val="0"/>
            <w:vAlign w:val="center"/>
          </w:tcPr>
          <w:p>
            <w:pPr>
              <w:widowControl/>
              <w:spacing w:line="400" w:lineRule="exact"/>
              <w:jc w:val="center"/>
              <w:textAlignment w:val="center"/>
              <w:rPr>
                <w:rFonts w:hint="default" w:ascii="Times New Roman" w:hAnsi="Times New Roman" w:eastAsia="黑体" w:cs="Times New Roman"/>
                <w:b w:val="0"/>
                <w:bCs w:val="0"/>
                <w:color w:val="000000"/>
                <w:kern w:val="0"/>
                <w:sz w:val="24"/>
                <w:szCs w:val="24"/>
                <w:lang w:bidi="ar"/>
              </w:rPr>
            </w:pPr>
            <w:r>
              <w:rPr>
                <w:rFonts w:hint="default" w:ascii="Times New Roman" w:hAnsi="Times New Roman" w:eastAsia="黑体" w:cs="Times New Roman"/>
                <w:b w:val="0"/>
                <w:bCs w:val="0"/>
                <w:color w:val="000000"/>
                <w:kern w:val="0"/>
                <w:sz w:val="24"/>
                <w:szCs w:val="24"/>
                <w:lang w:bidi="ar"/>
              </w:rPr>
              <w:t>项目</w:t>
            </w:r>
          </w:p>
        </w:tc>
        <w:tc>
          <w:tcPr>
            <w:tcW w:w="1563" w:type="dxa"/>
            <w:noWrap w:val="0"/>
            <w:vAlign w:val="center"/>
          </w:tcPr>
          <w:p>
            <w:pPr>
              <w:widowControl/>
              <w:spacing w:line="300" w:lineRule="exact"/>
              <w:jc w:val="center"/>
              <w:textAlignment w:val="center"/>
              <w:rPr>
                <w:rFonts w:hint="default" w:ascii="Times New Roman" w:hAnsi="Times New Roman" w:eastAsia="黑体" w:cs="Times New Roman"/>
                <w:b w:val="0"/>
                <w:bCs w:val="0"/>
                <w:color w:val="000000"/>
                <w:kern w:val="0"/>
                <w:sz w:val="24"/>
                <w:szCs w:val="24"/>
                <w:lang w:eastAsia="zh-CN" w:bidi="ar"/>
              </w:rPr>
            </w:pPr>
            <w:r>
              <w:rPr>
                <w:rFonts w:hint="default" w:ascii="Times New Roman" w:hAnsi="Times New Roman" w:eastAsia="黑体" w:cs="Times New Roman"/>
                <w:b w:val="0"/>
                <w:bCs w:val="0"/>
                <w:color w:val="000000"/>
                <w:kern w:val="0"/>
                <w:sz w:val="24"/>
                <w:szCs w:val="24"/>
                <w:lang w:eastAsia="zh-CN" w:bidi="ar"/>
              </w:rPr>
              <w:t>《</w:t>
            </w:r>
            <w:r>
              <w:rPr>
                <w:rFonts w:hint="default" w:ascii="Times New Roman" w:hAnsi="Times New Roman" w:eastAsia="黑体" w:cs="Times New Roman"/>
                <w:b w:val="0"/>
                <w:bCs w:val="0"/>
                <w:color w:val="000000"/>
                <w:kern w:val="0"/>
                <w:sz w:val="24"/>
                <w:szCs w:val="24"/>
                <w:lang w:val="en-US" w:eastAsia="zh-CN" w:bidi="ar"/>
              </w:rPr>
              <w:t>固废法</w:t>
            </w:r>
            <w:r>
              <w:rPr>
                <w:rFonts w:hint="default" w:ascii="Times New Roman" w:hAnsi="Times New Roman" w:eastAsia="黑体" w:cs="Times New Roman"/>
                <w:b w:val="0"/>
                <w:bCs w:val="0"/>
                <w:color w:val="000000"/>
                <w:kern w:val="0"/>
                <w:sz w:val="24"/>
                <w:szCs w:val="24"/>
                <w:lang w:eastAsia="zh-CN" w:bidi="ar"/>
              </w:rPr>
              <w:t>》</w:t>
            </w:r>
          </w:p>
          <w:p>
            <w:pPr>
              <w:widowControl/>
              <w:spacing w:line="300" w:lineRule="exact"/>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条款号</w:t>
            </w:r>
          </w:p>
        </w:tc>
        <w:tc>
          <w:tcPr>
            <w:tcW w:w="3183" w:type="dxa"/>
            <w:noWrap w:val="0"/>
            <w:vAlign w:val="center"/>
          </w:tcPr>
          <w:p>
            <w:pPr>
              <w:widowControl/>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条款内容</w:t>
            </w:r>
          </w:p>
        </w:tc>
        <w:tc>
          <w:tcPr>
            <w:tcW w:w="4941" w:type="dxa"/>
            <w:noWrap w:val="0"/>
            <w:vAlign w:val="center"/>
          </w:tcPr>
          <w:p>
            <w:pPr>
              <w:widowControl/>
              <w:jc w:val="center"/>
              <w:textAlignment w:val="center"/>
              <w:rPr>
                <w:rFonts w:hint="default" w:ascii="Times New Roman" w:hAnsi="Times New Roman" w:eastAsia="黑体" w:cs="Times New Roman"/>
                <w:b w:val="0"/>
                <w:bCs w:val="0"/>
                <w:color w:val="000000"/>
                <w:sz w:val="24"/>
                <w:szCs w:val="24"/>
              </w:rPr>
            </w:pPr>
            <w:r>
              <w:rPr>
                <w:rFonts w:hint="default" w:ascii="Times New Roman" w:hAnsi="Times New Roman" w:eastAsia="黑体" w:cs="Times New Roman"/>
                <w:b w:val="0"/>
                <w:bCs w:val="0"/>
                <w:color w:val="000000"/>
                <w:kern w:val="0"/>
                <w:sz w:val="24"/>
                <w:szCs w:val="24"/>
                <w:lang w:bidi="ar"/>
              </w:rPr>
              <w:t>达标要求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561" w:type="dxa"/>
            <w:noWrap w:val="0"/>
            <w:vAlign w:val="center"/>
          </w:tcPr>
          <w:p>
            <w:pPr>
              <w:widowControl/>
              <w:jc w:val="center"/>
              <w:textAlignment w:val="center"/>
              <w:rPr>
                <w:rFonts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信息公开</w:t>
            </w:r>
          </w:p>
        </w:tc>
        <w:tc>
          <w:tcPr>
            <w:tcW w:w="1563" w:type="dxa"/>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第二十九条</w:t>
            </w:r>
          </w:p>
        </w:tc>
        <w:tc>
          <w:tcPr>
            <w:tcW w:w="3183" w:type="dxa"/>
            <w:noWrap w:val="0"/>
            <w:vAlign w:val="center"/>
          </w:tcPr>
          <w:p>
            <w:pPr>
              <w:widowControl/>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产生、收集、贮存、运输、利用、处置固体废物的单位，应当依法及时公开固体废物污染环境防治信息，主动接受社会监督。</w:t>
            </w:r>
          </w:p>
        </w:tc>
        <w:tc>
          <w:tcPr>
            <w:tcW w:w="4941" w:type="dxa"/>
            <w:noWrap w:val="0"/>
            <w:vAlign w:val="center"/>
          </w:tcPr>
          <w:p>
            <w:pPr>
              <w:widowControl/>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通过企业网站等途径依法公开当年一般工业固体废物污染环境防治信息。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34" w:hRule="atLeast"/>
          <w:jc w:val="center"/>
        </w:trPr>
        <w:tc>
          <w:tcPr>
            <w:tcW w:w="561" w:type="dxa"/>
            <w:noWrap w:val="0"/>
            <w:vAlign w:val="center"/>
          </w:tcPr>
          <w:p>
            <w:pPr>
              <w:widowControl/>
              <w:jc w:val="center"/>
              <w:textAlignment w:val="center"/>
              <w:rPr>
                <w:rFonts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责任制度与台账制度</w:t>
            </w:r>
          </w:p>
        </w:tc>
        <w:tc>
          <w:tcPr>
            <w:tcW w:w="1563" w:type="dxa"/>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第三十六条</w:t>
            </w:r>
          </w:p>
        </w:tc>
        <w:tc>
          <w:tcPr>
            <w:tcW w:w="3183" w:type="dxa"/>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禁止向生活垃圾收集设施中投放工业固体废物。</w:t>
            </w:r>
          </w:p>
        </w:tc>
        <w:tc>
          <w:tcPr>
            <w:tcW w:w="4941" w:type="dxa"/>
            <w:noWrap w:val="0"/>
            <w:vAlign w:val="center"/>
          </w:tcPr>
          <w:p>
            <w:pPr>
              <w:widowControl/>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1.建立了涵盖全过程的责任制度，负责人明确，各项责任分解清晰；负责人熟悉一般工业固体废物环境管理相关法规、制度、标准、规范；制定的制度得到落实；采取了防治工业固体废物污染环境的措施。</w:t>
            </w:r>
          </w:p>
          <w:p>
            <w:pPr>
              <w:widowControl/>
              <w:textAlignment w:val="center"/>
              <w:rPr>
                <w:rFonts w:hint="default" w:ascii="Times New Roman" w:hAnsi="Times New Roman" w:eastAsia="宋体" w:cs="Times New Roman"/>
                <w:color w:val="000000"/>
                <w:kern w:val="0"/>
                <w:sz w:val="24"/>
                <w:szCs w:val="24"/>
                <w:lang w:eastAsia="zh-CN" w:bidi="ar"/>
              </w:rPr>
            </w:pPr>
            <w:r>
              <w:rPr>
                <w:rFonts w:hint="default" w:ascii="Times New Roman" w:hAnsi="Times New Roman" w:cs="Times New Roman"/>
                <w:color w:val="000000"/>
                <w:kern w:val="0"/>
                <w:sz w:val="24"/>
                <w:szCs w:val="24"/>
                <w:lang w:bidi="ar"/>
              </w:rPr>
              <w:t>2.</w:t>
            </w:r>
            <w:r>
              <w:rPr>
                <w:rFonts w:hint="default" w:ascii="Times New Roman" w:hAnsi="Times New Roman" w:cs="Times New Roman"/>
                <w:color w:val="000000"/>
                <w:kern w:val="0"/>
                <w:sz w:val="24"/>
                <w:szCs w:val="24"/>
                <w:lang w:val="en-US" w:eastAsia="zh-CN" w:bidi="ar"/>
              </w:rPr>
              <w:t>建立</w:t>
            </w:r>
            <w:r>
              <w:rPr>
                <w:rFonts w:hint="default" w:ascii="Times New Roman" w:hAnsi="Times New Roman" w:cs="Times New Roman"/>
                <w:color w:val="000000"/>
                <w:kern w:val="0"/>
                <w:sz w:val="24"/>
                <w:szCs w:val="24"/>
                <w:lang w:bidi="ar"/>
              </w:rPr>
              <w:t>一般工业</w:t>
            </w:r>
            <w:r>
              <w:rPr>
                <w:rFonts w:hint="default" w:ascii="Times New Roman" w:hAnsi="Times New Roman" w:cs="Times New Roman"/>
                <w:color w:val="000000"/>
                <w:kern w:val="0"/>
                <w:sz w:val="24"/>
                <w:szCs w:val="24"/>
                <w:lang w:eastAsia="zh-CN" w:bidi="ar"/>
              </w:rPr>
              <w:t>固体废物</w:t>
            </w:r>
            <w:r>
              <w:rPr>
                <w:rFonts w:hint="default" w:ascii="Times New Roman" w:hAnsi="Times New Roman" w:cs="Times New Roman"/>
                <w:color w:val="000000"/>
                <w:kern w:val="0"/>
                <w:sz w:val="24"/>
                <w:szCs w:val="24"/>
                <w:lang w:bidi="ar"/>
              </w:rPr>
              <w:t>台账，</w:t>
            </w:r>
            <w:r>
              <w:rPr>
                <w:rFonts w:hint="default" w:ascii="Times New Roman" w:hAnsi="Times New Roman" w:cs="Times New Roman"/>
                <w:color w:val="000000"/>
                <w:kern w:val="0"/>
                <w:sz w:val="24"/>
                <w:szCs w:val="24"/>
                <w:lang w:val="en-US" w:eastAsia="zh-CN" w:bidi="ar"/>
              </w:rPr>
              <w:t>如实</w:t>
            </w:r>
            <w:r>
              <w:rPr>
                <w:rFonts w:hint="default" w:ascii="Times New Roman" w:hAnsi="Times New Roman" w:cs="Times New Roman"/>
                <w:color w:val="000000"/>
                <w:kern w:val="0"/>
                <w:sz w:val="24"/>
                <w:szCs w:val="24"/>
                <w:lang w:bidi="ar"/>
              </w:rPr>
              <w:t>记录产生</w:t>
            </w:r>
            <w:r>
              <w:rPr>
                <w:rFonts w:hint="default" w:ascii="Times New Roman" w:hAnsi="Times New Roman" w:cs="Times New Roman"/>
                <w:color w:val="000000"/>
                <w:kern w:val="0"/>
                <w:sz w:val="24"/>
                <w:szCs w:val="24"/>
                <w:lang w:val="en-US" w:eastAsia="zh-CN" w:bidi="ar"/>
              </w:rPr>
              <w:t>一般</w:t>
            </w:r>
            <w:r>
              <w:rPr>
                <w:rFonts w:hint="default" w:ascii="Times New Roman" w:hAnsi="Times New Roman" w:cs="Times New Roman"/>
                <w:color w:val="000000"/>
                <w:kern w:val="0"/>
                <w:sz w:val="24"/>
                <w:szCs w:val="24"/>
                <w:lang w:bidi="ar"/>
              </w:rPr>
              <w:t>工业固体废物的种类、数量、流向、贮存、利用、处置等信息</w:t>
            </w:r>
            <w:r>
              <w:rPr>
                <w:rFonts w:hint="default" w:ascii="Times New Roman" w:hAnsi="Times New Roman" w:cs="Times New Roman"/>
                <w:color w:val="000000"/>
                <w:kern w:val="0"/>
                <w:sz w:val="24"/>
                <w:szCs w:val="24"/>
                <w:lang w:eastAsia="zh-CN" w:bidi="ar"/>
              </w:rPr>
              <w:t>。</w:t>
            </w:r>
          </w:p>
          <w:p>
            <w:pPr>
              <w:widowControl/>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bidi="ar"/>
              </w:rPr>
              <w:t>3.未将</w:t>
            </w:r>
            <w:r>
              <w:rPr>
                <w:rFonts w:hint="default" w:ascii="Times New Roman" w:hAnsi="Times New Roman" w:cs="Times New Roman"/>
                <w:color w:val="000000"/>
                <w:kern w:val="0"/>
                <w:sz w:val="24"/>
                <w:szCs w:val="24"/>
                <w:lang w:val="en-US" w:eastAsia="zh-CN" w:bidi="ar"/>
              </w:rPr>
              <w:t>一般工业</w:t>
            </w:r>
            <w:r>
              <w:rPr>
                <w:rFonts w:hint="default" w:ascii="Times New Roman" w:hAnsi="Times New Roman" w:cs="Times New Roman"/>
                <w:color w:val="000000"/>
                <w:kern w:val="0"/>
                <w:sz w:val="24"/>
                <w:szCs w:val="24"/>
                <w:lang w:bidi="ar"/>
              </w:rPr>
              <w:t>固体废物投放至生活垃圾收集设施中。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35" w:hRule="atLeast"/>
          <w:jc w:val="center"/>
        </w:trPr>
        <w:tc>
          <w:tcPr>
            <w:tcW w:w="561" w:type="dxa"/>
            <w:noWrap w:val="0"/>
            <w:vAlign w:val="center"/>
          </w:tcPr>
          <w:p>
            <w:pPr>
              <w:widowControl/>
              <w:jc w:val="center"/>
              <w:textAlignment w:val="center"/>
              <w:rPr>
                <w:rFonts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申报制度</w:t>
            </w:r>
          </w:p>
        </w:tc>
        <w:tc>
          <w:tcPr>
            <w:tcW w:w="1563" w:type="dxa"/>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第三十九条</w:t>
            </w:r>
          </w:p>
        </w:tc>
        <w:tc>
          <w:tcPr>
            <w:tcW w:w="3183" w:type="dxa"/>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产生工业固体废物的单位应当取得排污许可证。排污许可的具体办法和实施步骤由国务院规定。</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tc>
        <w:tc>
          <w:tcPr>
            <w:tcW w:w="4941" w:type="dxa"/>
            <w:noWrap w:val="0"/>
            <w:vAlign w:val="center"/>
          </w:tcPr>
          <w:p>
            <w:pPr>
              <w:widowControl/>
              <w:textAlignment w:val="center"/>
              <w:rPr>
                <w:rFonts w:hint="default" w:ascii="Times New Roman" w:hAnsi="Times New Roman" w:cs="Times New Roman"/>
                <w:color w:val="000000"/>
                <w:kern w:val="0"/>
                <w:sz w:val="24"/>
                <w:szCs w:val="24"/>
                <w:lang w:bidi="ar"/>
              </w:rPr>
            </w:pPr>
          </w:p>
          <w:p>
            <w:pPr>
              <w:widowControl/>
              <w:textAlignment w:val="center"/>
              <w:rPr>
                <w:rFonts w:hint="default" w:ascii="Times New Roman" w:hAnsi="Times New Roman" w:cs="Times New Roman"/>
                <w:color w:val="000000"/>
                <w:kern w:val="0"/>
                <w:sz w:val="24"/>
                <w:szCs w:val="24"/>
                <w:lang w:bidi="ar"/>
              </w:rPr>
            </w:pPr>
          </w:p>
          <w:p>
            <w:pPr>
              <w:widowControl/>
              <w:textAlignment w:val="center"/>
              <w:rPr>
                <w:rFonts w:hint="default" w:ascii="Times New Roman" w:hAnsi="Times New Roman" w:cs="Times New Roman"/>
                <w:color w:val="000000"/>
                <w:kern w:val="0"/>
                <w:sz w:val="24"/>
                <w:szCs w:val="24"/>
                <w:lang w:bidi="ar"/>
              </w:rPr>
            </w:pPr>
          </w:p>
          <w:p>
            <w:pPr>
              <w:widowControl/>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1.依法取得排污许可证，许可证中按照技术规范对工业固体废物提出明确环境管理要求，对工业固体废物的贮存、自行利用处置和委托外单位利用处置符合许可证要求，按要求及时提交台账记录和执行报告。</w:t>
            </w:r>
          </w:p>
          <w:p>
            <w:pPr>
              <w:widowControl/>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val="en-US" w:eastAsia="zh-CN" w:bidi="ar"/>
              </w:rPr>
              <w:t>2.每年3月15日前</w:t>
            </w:r>
            <w:r>
              <w:rPr>
                <w:rFonts w:hint="default" w:ascii="Times New Roman" w:hAnsi="Times New Roman" w:cs="Times New Roman"/>
                <w:color w:val="000000"/>
                <w:kern w:val="0"/>
                <w:sz w:val="24"/>
                <w:szCs w:val="24"/>
                <w:lang w:bidi="ar"/>
              </w:rPr>
              <w:t>在广东省固体废物环境监管信息平台全面、</w:t>
            </w:r>
            <w:r>
              <w:rPr>
                <w:rFonts w:hint="default" w:ascii="Times New Roman" w:hAnsi="Times New Roman" w:cs="Times New Roman"/>
                <w:color w:val="000000"/>
                <w:kern w:val="0"/>
                <w:sz w:val="24"/>
                <w:szCs w:val="24"/>
                <w:lang w:val="en-US" w:eastAsia="zh-CN" w:bidi="ar"/>
              </w:rPr>
              <w:t>准确</w:t>
            </w:r>
            <w:r>
              <w:rPr>
                <w:rFonts w:hint="default" w:ascii="Times New Roman" w:hAnsi="Times New Roman" w:cs="Times New Roman"/>
                <w:color w:val="000000"/>
                <w:kern w:val="0"/>
                <w:sz w:val="24"/>
                <w:szCs w:val="24"/>
                <w:lang w:bidi="ar"/>
              </w:rPr>
              <w:t>申报工业固体废物的种类、数量、流向、贮存、利用、处置情况。</w:t>
            </w:r>
          </w:p>
          <w:p>
            <w:pPr>
              <w:widowControl/>
              <w:textAlignment w:val="center"/>
              <w:rPr>
                <w:rFonts w:hint="default" w:ascii="Times New Roman" w:hAnsi="Times New Roman" w:cs="Times New Roman"/>
                <w:color w:val="000000"/>
                <w:kern w:val="0"/>
                <w:sz w:val="24"/>
                <w:szCs w:val="24"/>
                <w:lang w:bidi="ar"/>
              </w:rPr>
            </w:pPr>
          </w:p>
          <w:p>
            <w:pPr>
              <w:widowControl/>
              <w:textAlignment w:val="center"/>
              <w:rPr>
                <w:rFonts w:hint="default" w:ascii="Times New Roman" w:hAnsi="Times New Roman" w:cs="Times New Roman"/>
                <w:color w:val="000000"/>
                <w:kern w:val="0"/>
                <w:sz w:val="24"/>
                <w:szCs w:val="24"/>
                <w:lang w:bidi="ar"/>
              </w:rPr>
            </w:pPr>
          </w:p>
          <w:p>
            <w:pPr>
              <w:widowControl/>
              <w:textAlignment w:val="center"/>
              <w:rPr>
                <w:rFonts w:hint="default" w:ascii="Times New Roman" w:hAnsi="Times New Roman" w:cs="Times New Roman"/>
                <w:color w:val="00000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71" w:hRule="atLeast"/>
          <w:jc w:val="center"/>
        </w:trPr>
        <w:tc>
          <w:tcPr>
            <w:tcW w:w="561" w:type="dxa"/>
            <w:vMerge w:val="restart"/>
            <w:noWrap w:val="0"/>
            <w:vAlign w:val="center"/>
          </w:tcPr>
          <w:p>
            <w:pPr>
              <w:spacing w:line="360" w:lineRule="auto"/>
              <w:jc w:val="center"/>
              <w:rPr>
                <w:rFonts w:ascii="Times New Roman" w:hAnsi="Times New Roman" w:cs="Times New Roman"/>
                <w:color w:val="000000"/>
                <w:kern w:val="0"/>
                <w:sz w:val="24"/>
                <w:szCs w:val="24"/>
                <w:lang w:bidi="ar"/>
              </w:rPr>
            </w:pPr>
            <w:r>
              <w:rPr>
                <w:rFonts w:ascii="Times New Roman" w:hAnsi="Times New Roman" w:cs="Times New Roman"/>
                <w:sz w:val="24"/>
                <w:szCs w:val="24"/>
              </w:rPr>
              <w:t>贮存管理</w:t>
            </w:r>
          </w:p>
          <w:p>
            <w:pPr>
              <w:widowControl/>
              <w:jc w:val="center"/>
              <w:textAlignment w:val="center"/>
              <w:rPr>
                <w:rFonts w:hint="default" w:ascii="Times New Roman" w:hAnsi="Times New Roman" w:cs="Times New Roman"/>
                <w:color w:val="000000"/>
                <w:kern w:val="0"/>
                <w:sz w:val="24"/>
                <w:szCs w:val="24"/>
                <w:lang w:bidi="ar"/>
              </w:rPr>
            </w:pPr>
          </w:p>
          <w:p>
            <w:pPr>
              <w:widowControl/>
              <w:jc w:val="center"/>
              <w:textAlignment w:val="center"/>
              <w:rPr>
                <w:rFonts w:ascii="Times New Roman" w:hAnsi="Times New Roman" w:cs="Times New Roman"/>
                <w:color w:val="000000"/>
                <w:kern w:val="0"/>
                <w:sz w:val="24"/>
                <w:szCs w:val="24"/>
                <w:lang w:bidi="ar"/>
              </w:rPr>
            </w:pPr>
          </w:p>
        </w:tc>
        <w:tc>
          <w:tcPr>
            <w:tcW w:w="1563" w:type="dxa"/>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第十七条</w:t>
            </w:r>
          </w:p>
        </w:tc>
        <w:tc>
          <w:tcPr>
            <w:tcW w:w="3183" w:type="dxa"/>
            <w:noWrap w:val="0"/>
            <w:vAlign w:val="center"/>
          </w:tcPr>
          <w:p>
            <w:pPr>
              <w:widowControl/>
              <w:spacing w:line="280"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建设产生、贮存、利用、处置固体废物的项目，应当依法进行环境影响评价，并遵守国家有关建设项目环境保护管理的规定。</w:t>
            </w:r>
          </w:p>
        </w:tc>
        <w:tc>
          <w:tcPr>
            <w:tcW w:w="4941" w:type="dxa"/>
            <w:vMerge w:val="restart"/>
            <w:noWrap w:val="0"/>
            <w:vAlign w:val="center"/>
          </w:tcPr>
          <w:p>
            <w:pPr>
              <w:widowControl/>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环境影响评价文件对全部一般工业固体废物贮存设施、利用处置设施进行了评价，且完成了“三同时”验收或在验收期限内。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32" w:hRule="atLeast"/>
          <w:jc w:val="center"/>
        </w:trPr>
        <w:tc>
          <w:tcPr>
            <w:tcW w:w="561" w:type="dxa"/>
            <w:vMerge w:val="continue"/>
            <w:noWrap w:val="0"/>
            <w:vAlign w:val="center"/>
          </w:tcPr>
          <w:p>
            <w:pPr>
              <w:widowControl/>
              <w:jc w:val="center"/>
              <w:textAlignment w:val="center"/>
              <w:rPr>
                <w:rFonts w:ascii="Times New Roman" w:hAnsi="Times New Roman" w:cs="Times New Roman"/>
              </w:rPr>
            </w:pPr>
          </w:p>
        </w:tc>
        <w:tc>
          <w:tcPr>
            <w:tcW w:w="1563" w:type="dxa"/>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第十八条</w:t>
            </w:r>
          </w:p>
        </w:tc>
        <w:tc>
          <w:tcPr>
            <w:tcW w:w="3183" w:type="dxa"/>
            <w:noWrap w:val="0"/>
            <w:vAlign w:val="center"/>
          </w:tcPr>
          <w:p>
            <w:pPr>
              <w:widowControl/>
              <w:spacing w:line="280" w:lineRule="exact"/>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建设单位应当依照有关法律法规的规定，对配套建设的固体废物污染环境防治设施进行验收，编制验收报告，并向社会公开。</w:t>
            </w:r>
          </w:p>
        </w:tc>
        <w:tc>
          <w:tcPr>
            <w:tcW w:w="4941" w:type="dxa"/>
            <w:vMerge w:val="continue"/>
            <w:noWrap w:val="0"/>
            <w:vAlign w:val="center"/>
          </w:tcPr>
          <w:p>
            <w:pPr>
              <w:widowControl/>
              <w:jc w:val="center"/>
              <w:textAlignment w:val="center"/>
              <w:rPr>
                <w:rFonts w:hint="default" w:ascii="Times New Roman" w:hAnsi="Times New Roman" w:cs="Times New Roman"/>
                <w:color w:val="000000"/>
                <w:kern w:val="0"/>
                <w:sz w:val="24"/>
                <w:szCs w:val="24"/>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68" w:hRule="atLeast"/>
          <w:jc w:val="center"/>
        </w:trPr>
        <w:tc>
          <w:tcPr>
            <w:tcW w:w="561" w:type="dxa"/>
            <w:vMerge w:val="continue"/>
            <w:noWrap w:val="0"/>
            <w:vAlign w:val="center"/>
          </w:tcPr>
          <w:p>
            <w:pPr>
              <w:widowControl/>
              <w:jc w:val="center"/>
              <w:textAlignment w:val="center"/>
              <w:rPr>
                <w:rFonts w:ascii="Times New Roman" w:hAnsi="Times New Roman" w:cs="Times New Roman"/>
                <w:color w:val="000000"/>
                <w:kern w:val="0"/>
                <w:sz w:val="24"/>
                <w:szCs w:val="24"/>
                <w:lang w:bidi="ar"/>
              </w:rPr>
            </w:pPr>
          </w:p>
        </w:tc>
        <w:tc>
          <w:tcPr>
            <w:tcW w:w="1563" w:type="dxa"/>
            <w:noWrap w:val="0"/>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第四十条</w:t>
            </w:r>
          </w:p>
        </w:tc>
        <w:tc>
          <w:tcPr>
            <w:tcW w:w="3183" w:type="dxa"/>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tc>
        <w:tc>
          <w:tcPr>
            <w:tcW w:w="4941" w:type="dxa"/>
            <w:noWrap w:val="0"/>
            <w:vAlign w:val="center"/>
          </w:tcPr>
          <w:p>
            <w:pPr>
              <w:widowControl/>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bidi="ar"/>
              </w:rPr>
              <w:t>1.</w:t>
            </w:r>
            <w:r>
              <w:rPr>
                <w:rFonts w:hint="default" w:ascii="Times New Roman" w:hAnsi="Times New Roman" w:cs="Times New Roman"/>
                <w:color w:val="000000"/>
                <w:kern w:val="0"/>
                <w:sz w:val="24"/>
                <w:szCs w:val="24"/>
                <w:lang w:val="en-US" w:eastAsia="zh-CN" w:bidi="ar"/>
              </w:rPr>
              <w:t>建设</w:t>
            </w:r>
            <w:r>
              <w:rPr>
                <w:rFonts w:hint="eastAsia" w:ascii="Times New Roman" w:hAnsi="Times New Roman" w:cs="Times New Roman"/>
                <w:color w:val="000000"/>
                <w:kern w:val="0"/>
                <w:sz w:val="24"/>
                <w:szCs w:val="24"/>
                <w:lang w:val="en-US" w:eastAsia="zh-CN" w:bidi="ar"/>
              </w:rPr>
              <w:t>符合规定的</w:t>
            </w:r>
            <w:r>
              <w:rPr>
                <w:rFonts w:hint="default" w:ascii="Times New Roman" w:hAnsi="Times New Roman" w:cs="Times New Roman"/>
                <w:color w:val="000000"/>
                <w:kern w:val="0"/>
                <w:sz w:val="24"/>
                <w:szCs w:val="24"/>
                <w:lang w:val="en-US" w:eastAsia="zh-CN" w:bidi="ar"/>
              </w:rPr>
              <w:t>一般工业固体废物贮存设施、场所。</w:t>
            </w:r>
          </w:p>
          <w:p>
            <w:pPr>
              <w:widowControl/>
              <w:textAlignment w:val="center"/>
              <w:rPr>
                <w:rFonts w:hint="eastAsia" w:ascii="Times New Roman" w:hAnsi="Times New Roman" w:eastAsia="宋体" w:cs="Times New Roman"/>
                <w:color w:val="000000"/>
                <w:kern w:val="0"/>
                <w:sz w:val="24"/>
                <w:szCs w:val="24"/>
                <w:lang w:eastAsia="zh-CN" w:bidi="ar"/>
              </w:rPr>
            </w:pPr>
            <w:r>
              <w:rPr>
                <w:rFonts w:hint="default" w:ascii="Times New Roman" w:hAnsi="Times New Roman" w:cs="Times New Roman"/>
                <w:color w:val="000000"/>
                <w:kern w:val="0"/>
                <w:sz w:val="24"/>
                <w:szCs w:val="24"/>
                <w:lang w:val="en-US" w:eastAsia="zh-CN" w:bidi="ar"/>
              </w:rPr>
              <w:t>2.不同种类的</w:t>
            </w:r>
            <w:r>
              <w:rPr>
                <w:rFonts w:hint="default" w:ascii="Times New Roman" w:hAnsi="Times New Roman" w:cs="Times New Roman"/>
                <w:color w:val="000000"/>
                <w:kern w:val="0"/>
                <w:sz w:val="24"/>
                <w:szCs w:val="24"/>
                <w:lang w:bidi="ar"/>
              </w:rPr>
              <w:t>一般工业固体废物</w:t>
            </w:r>
            <w:r>
              <w:rPr>
                <w:rFonts w:hint="default" w:ascii="Times New Roman" w:hAnsi="Times New Roman" w:cs="Times New Roman"/>
                <w:color w:val="000000"/>
                <w:kern w:val="0"/>
                <w:sz w:val="24"/>
                <w:szCs w:val="24"/>
                <w:lang w:val="en-US" w:eastAsia="zh-CN" w:bidi="ar"/>
              </w:rPr>
              <w:t>安全分类存放</w:t>
            </w:r>
            <w:r>
              <w:rPr>
                <w:rFonts w:hint="eastAsia" w:ascii="Times New Roman" w:hAnsi="Times New Roman" w:cs="Times New Roman"/>
                <w:color w:val="000000"/>
                <w:kern w:val="0"/>
                <w:sz w:val="24"/>
                <w:szCs w:val="24"/>
                <w:lang w:eastAsia="zh-CN" w:bidi="ar"/>
              </w:rPr>
              <w:t>。</w:t>
            </w:r>
          </w:p>
          <w:p>
            <w:pPr>
              <w:widowControl/>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3</w:t>
            </w:r>
            <w:r>
              <w:rPr>
                <w:rFonts w:hint="default" w:ascii="Times New Roman" w:hAnsi="Times New Roman" w:cs="Times New Roman"/>
                <w:color w:val="000000"/>
                <w:kern w:val="0"/>
                <w:sz w:val="24"/>
                <w:szCs w:val="24"/>
                <w:lang w:bidi="ar"/>
              </w:rPr>
              <w:t>.</w:t>
            </w:r>
            <w:r>
              <w:rPr>
                <w:rFonts w:hint="default" w:ascii="Times New Roman" w:hAnsi="Times New Roman" w:cs="Times New Roman"/>
                <w:color w:val="000000"/>
                <w:kern w:val="0"/>
                <w:sz w:val="24"/>
                <w:szCs w:val="24"/>
                <w:lang w:val="en-US" w:eastAsia="zh-CN" w:bidi="ar"/>
              </w:rPr>
              <w:t>一般工业固体废物</w:t>
            </w:r>
            <w:r>
              <w:rPr>
                <w:rFonts w:ascii="Times New Roman" w:hAnsi="Times New Roman" w:eastAsia="宋体" w:cs="Times New Roman"/>
                <w:sz w:val="24"/>
                <w:szCs w:val="24"/>
              </w:rPr>
              <w:t>贮存过程满足防渗漏、防雨淋、防扬尘等环境保护要求</w:t>
            </w:r>
            <w:r>
              <w:rPr>
                <w:rFonts w:hint="default" w:ascii="Times New Roman" w:hAnsi="Times New Roman" w:eastAsia="宋体" w:cs="Times New Roman"/>
                <w:sz w:val="24"/>
                <w:szCs w:val="24"/>
                <w:lang w:eastAsia="zh-CN"/>
              </w:rPr>
              <w:t>。</w:t>
            </w:r>
          </w:p>
          <w:p>
            <w:pPr>
              <w:widowControl/>
              <w:textAlignment w:val="center"/>
              <w:rPr>
                <w:rFonts w:hint="default" w:ascii="Times New Roman" w:hAnsi="Times New Roman" w:eastAsia="宋体" w:cs="Times New Roman"/>
                <w:color w:val="auto"/>
                <w:kern w:val="0"/>
                <w:sz w:val="24"/>
                <w:szCs w:val="24"/>
                <w:highlight w:val="none"/>
                <w:lang w:eastAsia="zh-CN" w:bidi="ar"/>
              </w:rPr>
            </w:pPr>
            <w:r>
              <w:rPr>
                <w:rFonts w:hint="default" w:ascii="Times New Roman" w:hAnsi="Times New Roman" w:cs="Times New Roman"/>
                <w:color w:val="auto"/>
                <w:kern w:val="0"/>
                <w:sz w:val="24"/>
                <w:szCs w:val="24"/>
                <w:highlight w:val="none"/>
                <w:lang w:val="en-US" w:eastAsia="zh-CN" w:bidi="ar"/>
              </w:rPr>
              <w:t>4</w:t>
            </w:r>
            <w:r>
              <w:rPr>
                <w:rFonts w:hint="default" w:ascii="Times New Roman" w:hAnsi="Times New Roman" w:cs="Times New Roman"/>
                <w:color w:val="auto"/>
                <w:kern w:val="0"/>
                <w:sz w:val="24"/>
                <w:szCs w:val="24"/>
                <w:highlight w:val="none"/>
                <w:lang w:bidi="ar"/>
              </w:rPr>
              <w:t>.按 GB l5562.2 设置环境保护图形标志。</w:t>
            </w:r>
          </w:p>
          <w:p>
            <w:pPr>
              <w:widowControl/>
              <w:jc w:val="both"/>
              <w:textAlignment w:val="center"/>
              <w:rPr>
                <w:rFonts w:hint="default" w:ascii="Times New Roman" w:hAnsi="Times New Roman" w:eastAsia="宋体" w:cs="Times New Roman"/>
                <w:color w:val="FF0000"/>
                <w:kern w:val="0"/>
                <w:sz w:val="24"/>
                <w:szCs w:val="24"/>
                <w:lang w:val="en-US" w:eastAsia="zh-CN" w:bidi="ar"/>
              </w:rPr>
            </w:pPr>
          </w:p>
          <w:p>
            <w:pPr>
              <w:widowControl/>
              <w:jc w:val="center"/>
              <w:textAlignment w:val="center"/>
              <w:rPr>
                <w:rFonts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GB l5562.2  环境保护图形标志</w:t>
            </w:r>
          </w:p>
          <w:p>
            <w:pPr>
              <w:widowControl/>
              <w:textAlignment w:val="center"/>
              <w:rPr>
                <w:rFonts w:hint="default" w:ascii="Times New Roman" w:hAnsi="Times New Roman" w:eastAsia="宋体" w:cs="Times New Roman"/>
                <w:color w:val="FF0000"/>
                <w:lang w:eastAsia="zh-CN"/>
              </w:rPr>
            </w:pPr>
            <w:r>
              <w:rPr>
                <w:rFonts w:ascii="Times New Roman" w:hAnsi="Times New Roman" w:cs="Times New Roman"/>
                <w:color w:val="FF0000"/>
              </w:rPr>
              <w:drawing>
                <wp:inline distT="0" distB="0" distL="114300" distR="114300">
                  <wp:extent cx="1473835" cy="1386840"/>
                  <wp:effectExtent l="0" t="0" r="12065" b="3810"/>
                  <wp:docPr id="2" name="图片 1" descr="屏幕剪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屏幕剪辑"/>
                          <pic:cNvPicPr>
                            <a:picLocks noChangeAspect="1"/>
                          </pic:cNvPicPr>
                        </pic:nvPicPr>
                        <pic:blipFill>
                          <a:blip r:embed="rId4"/>
                          <a:stretch>
                            <a:fillRect/>
                          </a:stretch>
                        </pic:blipFill>
                        <pic:spPr>
                          <a:xfrm>
                            <a:off x="0" y="0"/>
                            <a:ext cx="1473835" cy="1386840"/>
                          </a:xfrm>
                          <a:prstGeom prst="rect">
                            <a:avLst/>
                          </a:prstGeom>
                          <a:noFill/>
                          <a:ln>
                            <a:noFill/>
                          </a:ln>
                        </pic:spPr>
                      </pic:pic>
                    </a:graphicData>
                  </a:graphic>
                </wp:inline>
              </w:drawing>
            </w:r>
            <w:r>
              <w:rPr>
                <w:rFonts w:hint="default" w:ascii="Times New Roman" w:hAnsi="Times New Roman" w:eastAsia="宋体" w:cs="Times New Roman"/>
                <w:color w:val="FF0000"/>
                <w:lang w:eastAsia="zh-CN"/>
              </w:rPr>
              <w:drawing>
                <wp:inline distT="0" distB="0" distL="114300" distR="114300">
                  <wp:extent cx="1416685" cy="1327150"/>
                  <wp:effectExtent l="0" t="0" r="12065" b="6350"/>
                  <wp:docPr id="1" name="图片 2" descr="fb0f0dd706049038493747a1325aa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b0f0dd706049038493747a1325aa0d"/>
                          <pic:cNvPicPr>
                            <a:picLocks noChangeAspect="1"/>
                          </pic:cNvPicPr>
                        </pic:nvPicPr>
                        <pic:blipFill>
                          <a:blip r:embed="rId5"/>
                          <a:srcRect l="4289" t="8191" r="2791" b="-220"/>
                          <a:stretch>
                            <a:fillRect/>
                          </a:stretch>
                        </pic:blipFill>
                        <pic:spPr>
                          <a:xfrm>
                            <a:off x="0" y="0"/>
                            <a:ext cx="1416685" cy="1327150"/>
                          </a:xfrm>
                          <a:prstGeom prst="rect">
                            <a:avLst/>
                          </a:prstGeom>
                          <a:noFill/>
                          <a:ln>
                            <a:noFill/>
                          </a:ln>
                        </pic:spPr>
                      </pic:pic>
                    </a:graphicData>
                  </a:graphic>
                </wp:inline>
              </w:drawing>
            </w:r>
          </w:p>
          <w:p>
            <w:pPr>
              <w:widowControl/>
              <w:ind w:firstLine="420" w:firstLineChars="200"/>
              <w:textAlignment w:val="center"/>
              <w:rPr>
                <w:rFonts w:hint="default" w:ascii="Times New Roman" w:hAnsi="Times New Roman" w:cs="Times New Roman"/>
              </w:rPr>
            </w:pPr>
            <w:r>
              <w:rPr>
                <w:rFonts w:hint="default" w:ascii="Times New Roman" w:hAnsi="Times New Roman" w:cs="Times New Roman"/>
                <w:color w:val="auto"/>
                <w:szCs w:val="24"/>
              </w:rPr>
              <w:t>提示图形符号           警告图形符号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31" w:hRule="atLeast"/>
          <w:jc w:val="center"/>
        </w:trPr>
        <w:tc>
          <w:tcPr>
            <w:tcW w:w="561" w:type="dxa"/>
            <w:noWrap w:val="0"/>
            <w:vAlign w:val="center"/>
          </w:tcPr>
          <w:p>
            <w:pPr>
              <w:widowControl/>
              <w:spacing w:line="300" w:lineRule="exact"/>
              <w:jc w:val="center"/>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转移处置</w:t>
            </w:r>
          </w:p>
        </w:tc>
        <w:tc>
          <w:tcPr>
            <w:tcW w:w="1563" w:type="dxa"/>
            <w:noWrap w:val="0"/>
            <w:vAlign w:val="center"/>
          </w:tcPr>
          <w:p>
            <w:pPr>
              <w:widowControl/>
              <w:spacing w:line="300" w:lineRule="exact"/>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第三十七条</w:t>
            </w:r>
          </w:p>
        </w:tc>
        <w:tc>
          <w:tcPr>
            <w:tcW w:w="3183" w:type="dxa"/>
            <w:noWrap w:val="0"/>
            <w:vAlign w:val="center"/>
          </w:tcPr>
          <w:p>
            <w:pPr>
              <w:widowControl/>
              <w:spacing w:line="280"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产生工业固体废物的单位委托他人运输、利用、处置工业固体废物的，应当对受托方的主体资格和技术能力进行核实，依法签订书面合同，在合同中约定污染防治要求。</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受托方运输、利用、处置工业固体废物，应当依照有关法律法规的规定和合同约定履行污染防治要求，并将运输、利用、处置情况告知产生工业固体废物的单位。</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产生工业固体废物的单位违反本条第一款规定的，除依照有关法律法规的规定予以处罚外，还应当与造成环境污染和生态破坏的受托方承担连带责任。</w:t>
            </w:r>
          </w:p>
        </w:tc>
        <w:tc>
          <w:tcPr>
            <w:tcW w:w="4941" w:type="dxa"/>
            <w:noWrap w:val="0"/>
            <w:vAlign w:val="center"/>
          </w:tcPr>
          <w:p>
            <w:pPr>
              <w:widowControl/>
              <w:spacing w:line="300" w:lineRule="exact"/>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1.</w:t>
            </w:r>
            <w:r>
              <w:rPr>
                <w:rFonts w:hint="default" w:ascii="Times New Roman" w:hAnsi="Times New Roman" w:cs="Times New Roman"/>
                <w:color w:val="000000"/>
                <w:kern w:val="0"/>
                <w:sz w:val="24"/>
                <w:szCs w:val="24"/>
                <w:lang w:val="en-US" w:eastAsia="zh-CN" w:bidi="ar"/>
              </w:rPr>
              <w:t>委托他人运输、利用、处置工业固体废物的，</w:t>
            </w:r>
            <w:r>
              <w:rPr>
                <w:rFonts w:ascii="Times New Roman" w:hAnsi="Times New Roman" w:cs="Times New Roman"/>
                <w:sz w:val="24"/>
                <w:szCs w:val="24"/>
              </w:rPr>
              <w:t>与</w:t>
            </w:r>
            <w:r>
              <w:rPr>
                <w:rFonts w:ascii="Times New Roman" w:hAnsi="Times New Roman" w:cs="Times New Roman"/>
                <w:color w:val="000000"/>
                <w:kern w:val="0"/>
                <w:sz w:val="24"/>
                <w:szCs w:val="24"/>
                <w:lang w:bidi="ar"/>
              </w:rPr>
              <w:t>有主体资格和技术能力的单位</w:t>
            </w:r>
            <w:r>
              <w:rPr>
                <w:rFonts w:ascii="Times New Roman" w:hAnsi="Times New Roman" w:cs="Times New Roman"/>
                <w:sz w:val="24"/>
                <w:szCs w:val="24"/>
              </w:rPr>
              <w:t>签订利用处置合同</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合同中明确污染防治要求</w:t>
            </w:r>
            <w:r>
              <w:rPr>
                <w:rFonts w:hint="default" w:ascii="Times New Roman" w:hAnsi="Times New Roman" w:cs="Times New Roman"/>
                <w:sz w:val="24"/>
                <w:szCs w:val="24"/>
              </w:rPr>
              <w:t>。</w:t>
            </w:r>
          </w:p>
          <w:p>
            <w:pPr>
              <w:widowControl/>
              <w:spacing w:line="300" w:lineRule="exact"/>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2.</w:t>
            </w:r>
            <w:r>
              <w:rPr>
                <w:rFonts w:hint="default" w:ascii="Times New Roman" w:hAnsi="Times New Roman" w:cs="Times New Roman"/>
                <w:color w:val="000000"/>
                <w:kern w:val="0"/>
                <w:sz w:val="24"/>
                <w:szCs w:val="24"/>
                <w:lang w:val="en-US" w:eastAsia="zh-CN" w:bidi="ar"/>
              </w:rPr>
              <w:t>通过</w:t>
            </w:r>
            <w:r>
              <w:rPr>
                <w:rFonts w:hint="default" w:ascii="Times New Roman" w:hAnsi="Times New Roman" w:cs="Times New Roman"/>
                <w:color w:val="000000"/>
                <w:kern w:val="0"/>
                <w:sz w:val="24"/>
                <w:szCs w:val="24"/>
                <w:lang w:bidi="ar"/>
              </w:rPr>
              <w:t>查验资料、现场勘察等形式</w:t>
            </w:r>
            <w:r>
              <w:rPr>
                <w:rFonts w:hint="default" w:ascii="Times New Roman" w:hAnsi="Times New Roman" w:cs="Times New Roman"/>
                <w:color w:val="000000"/>
                <w:kern w:val="0"/>
                <w:sz w:val="24"/>
                <w:szCs w:val="24"/>
                <w:lang w:val="en-US" w:eastAsia="zh-CN" w:bidi="ar"/>
              </w:rPr>
              <w:t>核实</w:t>
            </w:r>
            <w:r>
              <w:rPr>
                <w:rFonts w:hint="default" w:ascii="Times New Roman" w:hAnsi="Times New Roman" w:cs="Times New Roman"/>
                <w:color w:val="000000"/>
                <w:kern w:val="0"/>
                <w:sz w:val="24"/>
                <w:szCs w:val="24"/>
                <w:lang w:bidi="ar"/>
              </w:rPr>
              <w:t>受托方的经营范围、证照信息、工艺设施、环评文件</w:t>
            </w:r>
            <w:r>
              <w:rPr>
                <w:rFonts w:hint="default" w:ascii="Times New Roman" w:hAnsi="Times New Roman" w:cs="Times New Roman"/>
                <w:color w:val="000000"/>
                <w:kern w:val="0"/>
                <w:sz w:val="24"/>
                <w:szCs w:val="24"/>
                <w:lang w:eastAsia="zh-CN" w:bidi="ar"/>
              </w:rPr>
              <w:t>、</w:t>
            </w:r>
            <w:r>
              <w:rPr>
                <w:rFonts w:hint="default" w:ascii="Times New Roman" w:hAnsi="Times New Roman" w:cs="Times New Roman"/>
                <w:color w:val="000000"/>
                <w:kern w:val="0"/>
                <w:sz w:val="24"/>
                <w:szCs w:val="24"/>
                <w:lang w:bidi="ar"/>
              </w:rPr>
              <w:t>技术能力</w:t>
            </w:r>
            <w:r>
              <w:rPr>
                <w:rFonts w:hint="default" w:ascii="Times New Roman" w:hAnsi="Times New Roman" w:cs="Times New Roman"/>
                <w:color w:val="000000"/>
                <w:kern w:val="0"/>
                <w:sz w:val="24"/>
                <w:szCs w:val="24"/>
                <w:lang w:val="en-US" w:eastAsia="zh-CN" w:bidi="ar"/>
              </w:rPr>
              <w:t>和环境管理水平</w:t>
            </w:r>
            <w:r>
              <w:rPr>
                <w:rFonts w:hint="default" w:ascii="Times New Roman" w:hAnsi="Times New Roman" w:cs="Times New Roman"/>
                <w:color w:val="000000"/>
                <w:kern w:val="0"/>
                <w:sz w:val="24"/>
                <w:szCs w:val="24"/>
                <w:lang w:bidi="ar"/>
              </w:rPr>
              <w:t>。</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受托方为收集单位的，应进一步核实该单位收集废物的最终利用处置去向。</w:t>
            </w:r>
          </w:p>
          <w:p>
            <w:pPr>
              <w:widowControl/>
              <w:spacing w:line="300" w:lineRule="exact"/>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3.及时核对受托方利用或者处置相关一般工业固体废物情况。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561" w:type="dxa"/>
            <w:noWrap w:val="0"/>
            <w:vAlign w:val="center"/>
          </w:tcPr>
          <w:p>
            <w:pPr>
              <w:widowControl/>
              <w:spacing w:line="300" w:lineRule="exact"/>
              <w:jc w:val="center"/>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跨省转移</w:t>
            </w:r>
          </w:p>
        </w:tc>
        <w:tc>
          <w:tcPr>
            <w:tcW w:w="1563" w:type="dxa"/>
            <w:noWrap w:val="0"/>
            <w:vAlign w:val="center"/>
          </w:tcPr>
          <w:p>
            <w:pPr>
              <w:widowControl/>
              <w:spacing w:line="300" w:lineRule="exact"/>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第二十二条</w:t>
            </w:r>
          </w:p>
        </w:tc>
        <w:tc>
          <w:tcPr>
            <w:tcW w:w="3183" w:type="dxa"/>
            <w:noWrap w:val="0"/>
            <w:vAlign w:val="center"/>
          </w:tcPr>
          <w:p>
            <w:pPr>
              <w:widowControl/>
              <w:spacing w:line="280" w:lineRule="exact"/>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Pr>
                <w:rFonts w:hint="default" w:ascii="Times New Roman" w:hAnsi="Times New Roman" w:cs="Times New Roman"/>
                <w:color w:val="000000"/>
                <w:kern w:val="0"/>
                <w:sz w:val="24"/>
                <w:szCs w:val="24"/>
                <w:lang w:bidi="ar"/>
              </w:rPr>
              <w:br w:type="textWrapping"/>
            </w:r>
            <w:r>
              <w:rPr>
                <w:rFonts w:hint="default" w:ascii="Times New Roman" w:hAnsi="Times New Roman" w:cs="Times New Roman"/>
                <w:color w:val="000000"/>
                <w:kern w:val="0"/>
                <w:sz w:val="24"/>
                <w:szCs w:val="24"/>
                <w:lang w:bidi="ar"/>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tc>
        <w:tc>
          <w:tcPr>
            <w:tcW w:w="4941" w:type="dxa"/>
            <w:noWrap w:val="0"/>
            <w:vAlign w:val="center"/>
          </w:tcPr>
          <w:p>
            <w:pPr>
              <w:widowControl/>
              <w:numPr>
                <w:ilvl w:val="0"/>
                <w:numId w:val="1"/>
              </w:numPr>
              <w:spacing w:line="300" w:lineRule="exact"/>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转移一般工业固体废物出省利用的，应在转移前通过广东省固体废物环境监管信息</w:t>
            </w:r>
            <w:r>
              <w:rPr>
                <w:rFonts w:hint="eastAsia" w:ascii="Times New Roman" w:hAnsi="Times New Roman" w:cs="Times New Roman"/>
                <w:color w:val="000000"/>
                <w:kern w:val="0"/>
                <w:sz w:val="24"/>
                <w:szCs w:val="24"/>
                <w:lang w:val="en-US" w:eastAsia="zh-CN" w:bidi="ar"/>
              </w:rPr>
              <w:t>平台</w:t>
            </w:r>
            <w:r>
              <w:rPr>
                <w:rFonts w:hint="default" w:ascii="Times New Roman" w:hAnsi="Times New Roman" w:cs="Times New Roman"/>
                <w:color w:val="000000"/>
                <w:kern w:val="0"/>
                <w:sz w:val="24"/>
                <w:szCs w:val="24"/>
                <w:lang w:bidi="ar"/>
              </w:rPr>
              <w:t>备案</w:t>
            </w:r>
            <w:r>
              <w:rPr>
                <w:rFonts w:hint="eastAsia" w:ascii="Times New Roman" w:hAnsi="Times New Roman" w:cs="Times New Roman"/>
                <w:color w:val="000000"/>
                <w:kern w:val="0"/>
                <w:sz w:val="24"/>
                <w:szCs w:val="24"/>
                <w:lang w:eastAsia="zh-CN" w:bidi="ar"/>
              </w:rPr>
              <w:t>。</w:t>
            </w:r>
          </w:p>
          <w:p>
            <w:pPr>
              <w:widowControl/>
              <w:numPr>
                <w:ilvl w:val="0"/>
                <w:numId w:val="0"/>
              </w:numPr>
              <w:spacing w:line="300" w:lineRule="exact"/>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val="en-US" w:eastAsia="zh-CN" w:bidi="ar"/>
              </w:rPr>
              <w:t>2.</w:t>
            </w:r>
            <w:r>
              <w:rPr>
                <w:rFonts w:hint="default" w:ascii="Times New Roman" w:hAnsi="Times New Roman" w:cs="Times New Roman"/>
                <w:color w:val="000000"/>
                <w:kern w:val="0"/>
                <w:sz w:val="24"/>
                <w:szCs w:val="24"/>
                <w:lang w:bidi="ar"/>
              </w:rPr>
              <w:t>转移一般工业固体废物出省贮存、处置的，应依法申请办理固体废物跨省转移许可，取得批</w:t>
            </w:r>
            <w:r>
              <w:rPr>
                <w:rFonts w:hint="eastAsia" w:ascii="Times New Roman" w:hAnsi="Times New Roman" w:cs="Times New Roman"/>
                <w:color w:val="000000"/>
                <w:kern w:val="0"/>
                <w:sz w:val="24"/>
                <w:szCs w:val="24"/>
                <w:lang w:val="en-US" w:eastAsia="zh-CN" w:bidi="ar"/>
              </w:rPr>
              <w:t>准</w:t>
            </w:r>
            <w:r>
              <w:rPr>
                <w:rFonts w:hint="default" w:ascii="Times New Roman" w:hAnsi="Times New Roman" w:cs="Times New Roman"/>
                <w:color w:val="000000"/>
                <w:kern w:val="0"/>
                <w:sz w:val="24"/>
                <w:szCs w:val="24"/>
                <w:lang w:bidi="ar"/>
              </w:rPr>
              <w:t>方可实施转移</w:t>
            </w:r>
            <w:r>
              <w:rPr>
                <w:rFonts w:hint="default" w:ascii="Times New Roman" w:hAnsi="Times New Roman" w:cs="Times New Roman"/>
                <w:color w:val="000000"/>
                <w:kern w:val="0"/>
                <w:sz w:val="24"/>
                <w:szCs w:val="24"/>
                <w:lang w:eastAsia="zh-CN" w:bidi="ar"/>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71C1C"/>
    <w:multiLevelType w:val="singleLevel"/>
    <w:tmpl w:val="08E71C1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zRiOTRkNGYyODk1MmU5YzZlNDcwNzMzMWQxNzEifQ=="/>
  </w:docVars>
  <w:rsids>
    <w:rsidRoot w:val="6B3D40C9"/>
    <w:rsid w:val="6B3D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2023-05-09T08:59:00Z</dcterms:created>
  <dc:creator>陈璐</dc:creator>
  <cp:lastModifiedBy>陈璐</cp:lastModifiedBy>
  <dcterms:modified xsi:type="dcterms:W3CDTF">2023-05-09T09:00:06Z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F0F53C74DB584511A549DA1C5F773C99</vt:lpwstr>
  </property>
</Properties>
</file>